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CEE7" w14:textId="77777777" w:rsidR="00A11871" w:rsidRPr="00A11871" w:rsidRDefault="00A11871" w:rsidP="00A11871">
      <w:pPr>
        <w:rPr>
          <w:b/>
          <w:sz w:val="24"/>
          <w:szCs w:val="24"/>
        </w:rPr>
      </w:pPr>
      <w:r w:rsidRPr="00A11871">
        <w:rPr>
          <w:b/>
          <w:sz w:val="24"/>
          <w:szCs w:val="24"/>
        </w:rPr>
        <w:t xml:space="preserve">PODACI </w:t>
      </w:r>
      <w:r>
        <w:rPr>
          <w:b/>
          <w:sz w:val="24"/>
          <w:szCs w:val="24"/>
        </w:rPr>
        <w:t>IZ</w:t>
      </w:r>
      <w:r w:rsidRPr="00A11871">
        <w:rPr>
          <w:b/>
          <w:sz w:val="24"/>
          <w:szCs w:val="24"/>
        </w:rPr>
        <w:t xml:space="preserve"> ZAHTJEVA </w:t>
      </w:r>
      <w:r>
        <w:rPr>
          <w:b/>
          <w:sz w:val="24"/>
          <w:szCs w:val="24"/>
        </w:rPr>
        <w:t>ZA</w:t>
      </w:r>
      <w:r w:rsidRPr="00A11871">
        <w:rPr>
          <w:b/>
          <w:sz w:val="24"/>
          <w:szCs w:val="24"/>
        </w:rPr>
        <w:t xml:space="preserve"> SAKUPLJAČ</w:t>
      </w:r>
      <w:r>
        <w:rPr>
          <w:b/>
          <w:sz w:val="24"/>
          <w:szCs w:val="24"/>
        </w:rPr>
        <w:t>A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877"/>
        <w:gridCol w:w="64"/>
        <w:gridCol w:w="10"/>
        <w:gridCol w:w="759"/>
        <w:gridCol w:w="633"/>
        <w:gridCol w:w="1475"/>
        <w:gridCol w:w="1359"/>
      </w:tblGrid>
      <w:tr w:rsidR="008904F7" w:rsidRPr="000F1A66" w14:paraId="45611D09" w14:textId="77777777" w:rsidTr="00F971F1">
        <w:trPr>
          <w:jc w:val="center"/>
        </w:trPr>
        <w:tc>
          <w:tcPr>
            <w:tcW w:w="9248" w:type="dxa"/>
            <w:gridSpan w:val="8"/>
            <w:tcBorders>
              <w:top w:val="single" w:sz="4" w:space="0" w:color="auto"/>
            </w:tcBorders>
            <w:shd w:val="clear" w:color="auto" w:fill="F3F3F3"/>
          </w:tcPr>
          <w:p w14:paraId="76EE3ADF" w14:textId="77777777" w:rsidR="008904F7" w:rsidRPr="003B4F20" w:rsidRDefault="008904F7" w:rsidP="00F971F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557DBD" w14:textId="77777777" w:rsidR="008904F7" w:rsidRPr="003B4F20" w:rsidRDefault="008904F7" w:rsidP="00F971F1">
            <w:pPr>
              <w:jc w:val="center"/>
              <w:rPr>
                <w:b/>
                <w:bCs/>
                <w:sz w:val="28"/>
                <w:szCs w:val="28"/>
              </w:rPr>
            </w:pPr>
            <w:r w:rsidRPr="003B4F20">
              <w:rPr>
                <w:b/>
                <w:bCs/>
                <w:sz w:val="28"/>
                <w:szCs w:val="28"/>
              </w:rPr>
              <w:t xml:space="preserve">ZAHTJEV </w:t>
            </w:r>
          </w:p>
          <w:p w14:paraId="66C597E5" w14:textId="77777777" w:rsidR="008904F7" w:rsidRPr="00A11871" w:rsidRDefault="008904F7" w:rsidP="00F971F1">
            <w:pPr>
              <w:jc w:val="center"/>
              <w:rPr>
                <w:b/>
                <w:bCs/>
              </w:rPr>
            </w:pPr>
            <w:r w:rsidRPr="003B4F20">
              <w:rPr>
                <w:b/>
                <w:bCs/>
              </w:rPr>
              <w:t xml:space="preserve">ZA UPIS U </w:t>
            </w:r>
            <w:r>
              <w:rPr>
                <w:b/>
                <w:bCs/>
              </w:rPr>
              <w:t>OČEVIDNIK SAKUPLJAČA I OPORABITELJA</w:t>
            </w:r>
          </w:p>
        </w:tc>
      </w:tr>
      <w:tr w:rsidR="008904F7" w:rsidRPr="000F1A66" w14:paraId="56DF2D96" w14:textId="77777777" w:rsidTr="00F971F1">
        <w:trPr>
          <w:jc w:val="center"/>
        </w:trPr>
        <w:tc>
          <w:tcPr>
            <w:tcW w:w="9248" w:type="dxa"/>
            <w:gridSpan w:val="8"/>
            <w:shd w:val="clear" w:color="auto" w:fill="F3F3F3"/>
          </w:tcPr>
          <w:p w14:paraId="39A3AAE0" w14:textId="77777777" w:rsidR="008904F7" w:rsidRPr="000F1A66" w:rsidRDefault="008904F7" w:rsidP="00F971F1">
            <w:pPr>
              <w:tabs>
                <w:tab w:val="left" w:pos="5672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F1A66">
              <w:rPr>
                <w:rFonts w:ascii="Arial Narrow" w:hAnsi="Arial Narrow"/>
                <w:b/>
                <w:bCs/>
                <w:sz w:val="20"/>
                <w:szCs w:val="20"/>
              </w:rPr>
              <w:t>PODNOSITELJ ZAHTJEVA</w:t>
            </w:r>
          </w:p>
        </w:tc>
      </w:tr>
      <w:tr w:rsidR="008904F7" w:rsidRPr="000F1A66" w14:paraId="4CAEA6B0" w14:textId="77777777" w:rsidTr="00F971F1">
        <w:trPr>
          <w:jc w:val="center"/>
        </w:trPr>
        <w:tc>
          <w:tcPr>
            <w:tcW w:w="2071" w:type="dxa"/>
            <w:shd w:val="clear" w:color="auto" w:fill="F3F3F3"/>
          </w:tcPr>
          <w:p w14:paraId="4AE4C801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TVRTKA</w:t>
            </w:r>
          </w:p>
        </w:tc>
        <w:tc>
          <w:tcPr>
            <w:tcW w:w="7177" w:type="dxa"/>
            <w:gridSpan w:val="7"/>
            <w:shd w:val="clear" w:color="auto" w:fill="auto"/>
          </w:tcPr>
          <w:p w14:paraId="45D9B983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397C1901" w14:textId="77777777" w:rsidTr="00F971F1">
        <w:trPr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</w:tcPr>
          <w:p w14:paraId="633D8E71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 xml:space="preserve">OIB 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14:paraId="4B8E8374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6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3555E364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MBO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13C89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43C0C86D" w14:textId="77777777" w:rsidTr="00F971F1">
        <w:trPr>
          <w:jc w:val="center"/>
        </w:trPr>
        <w:tc>
          <w:tcPr>
            <w:tcW w:w="9248" w:type="dxa"/>
            <w:gridSpan w:val="8"/>
            <w:shd w:val="clear" w:color="auto" w:fill="F3F3F3"/>
          </w:tcPr>
          <w:p w14:paraId="68D80EE8" w14:textId="77777777" w:rsidR="008904F7" w:rsidRPr="000F1A66" w:rsidRDefault="008904F7" w:rsidP="00F971F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F1A66">
              <w:rPr>
                <w:rFonts w:ascii="Arial Narrow" w:hAnsi="Arial Narrow"/>
                <w:b/>
                <w:bCs/>
                <w:sz w:val="20"/>
                <w:szCs w:val="20"/>
              </w:rPr>
              <w:t>SJEDIŠTE</w:t>
            </w:r>
          </w:p>
        </w:tc>
      </w:tr>
      <w:tr w:rsidR="008904F7" w:rsidRPr="000F1A66" w14:paraId="1CFEDF28" w14:textId="77777777" w:rsidTr="00F971F1">
        <w:trPr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</w:tcPr>
          <w:p w14:paraId="55D5D7E3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ULICA i BROJ</w:t>
            </w:r>
          </w:p>
        </w:tc>
        <w:tc>
          <w:tcPr>
            <w:tcW w:w="7177" w:type="dxa"/>
            <w:gridSpan w:val="7"/>
            <w:shd w:val="clear" w:color="auto" w:fill="auto"/>
          </w:tcPr>
          <w:p w14:paraId="07C7F496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3A9AE106" w14:textId="77777777" w:rsidTr="00F971F1">
        <w:trPr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</w:tcPr>
          <w:p w14:paraId="78C3D200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 xml:space="preserve">MJESTO 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5C4D5A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F103934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POŠTANSKI BROJ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5C6F72FB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330AA896" w14:textId="77777777" w:rsidTr="00F971F1">
        <w:trPr>
          <w:jc w:val="center"/>
        </w:trPr>
        <w:tc>
          <w:tcPr>
            <w:tcW w:w="9248" w:type="dxa"/>
            <w:gridSpan w:val="8"/>
            <w:shd w:val="clear" w:color="auto" w:fill="F3F3F3"/>
          </w:tcPr>
          <w:p w14:paraId="62B774DA" w14:textId="77777777" w:rsidR="008904F7" w:rsidRPr="000F1A66" w:rsidRDefault="008904F7" w:rsidP="00F971F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KONTAKT</w:t>
            </w:r>
            <w:r w:rsidRPr="000F1A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PODACI</w:t>
            </w:r>
          </w:p>
        </w:tc>
      </w:tr>
      <w:tr w:rsidR="008904F7" w:rsidRPr="000F1A66" w14:paraId="6D1B3CA3" w14:textId="77777777" w:rsidTr="00F971F1">
        <w:trPr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</w:tcPr>
          <w:p w14:paraId="3AF250B8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IME I PREZIME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7D0F6E98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shd w:val="clear" w:color="auto" w:fill="F3F3F3"/>
          </w:tcPr>
          <w:p w14:paraId="5412AF8F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OIB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BE5E1FB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525193BD" w14:textId="77777777" w:rsidTr="00F971F1">
        <w:trPr>
          <w:jc w:val="center"/>
        </w:trPr>
        <w:tc>
          <w:tcPr>
            <w:tcW w:w="2071" w:type="dxa"/>
            <w:shd w:val="clear" w:color="auto" w:fill="F3F3F3"/>
          </w:tcPr>
          <w:p w14:paraId="48F22D21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0DBA24D5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shd w:val="clear" w:color="auto" w:fill="F3F3F3"/>
          </w:tcPr>
          <w:p w14:paraId="3923AAB0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MOBITEL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857FB54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18E2CDC1" w14:textId="77777777" w:rsidTr="00F971F1">
        <w:trPr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</w:tcPr>
          <w:p w14:paraId="1E9DABC7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E-POŠTA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3BD46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5310E0F3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TELEFAKS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929ECC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04F7" w:rsidRPr="000F1A66" w14:paraId="0BFE9193" w14:textId="77777777" w:rsidTr="00F971F1">
        <w:trPr>
          <w:trHeight w:val="236"/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</w:tcPr>
          <w:p w14:paraId="4FFC3031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0F1A66">
              <w:rPr>
                <w:rFonts w:ascii="Arial Narrow" w:hAnsi="Arial Narrow"/>
                <w:sz w:val="20"/>
                <w:szCs w:val="20"/>
              </w:rPr>
              <w:t>KONTAKT PODACI ZA OBJAVU NA INTERNETU</w:t>
            </w:r>
          </w:p>
        </w:tc>
        <w:tc>
          <w:tcPr>
            <w:tcW w:w="29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8D1A1CB" w14:textId="77777777" w:rsidR="008904F7" w:rsidRPr="000F1A66" w:rsidRDefault="008904F7" w:rsidP="00F971F1">
            <w:pPr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TEL:</w:t>
            </w:r>
          </w:p>
          <w:p w14:paraId="3D38A1FE" w14:textId="77777777" w:rsidR="008904F7" w:rsidRPr="000F1A66" w:rsidRDefault="008904F7" w:rsidP="00F971F1">
            <w:pPr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MOB:</w:t>
            </w:r>
          </w:p>
          <w:p w14:paraId="40AB5E6C" w14:textId="77777777" w:rsidR="008904F7" w:rsidRPr="000F1A66" w:rsidRDefault="008904F7" w:rsidP="00F971F1">
            <w:pPr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FAX:</w:t>
            </w:r>
          </w:p>
          <w:p w14:paraId="09522436" w14:textId="77777777" w:rsidR="008904F7" w:rsidRPr="000F1A66" w:rsidRDefault="008904F7" w:rsidP="00F971F1">
            <w:pPr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INTERNET:</w:t>
            </w:r>
          </w:p>
          <w:p w14:paraId="2F43F054" w14:textId="77777777" w:rsidR="008904F7" w:rsidRPr="000F1A66" w:rsidRDefault="008904F7" w:rsidP="00F971F1">
            <w:pPr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E-POŠTA:</w:t>
            </w:r>
          </w:p>
        </w:tc>
        <w:tc>
          <w:tcPr>
            <w:tcW w:w="4226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5C678FA5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904F7" w:rsidRPr="000F1A66" w14:paraId="2901982A" w14:textId="77777777" w:rsidTr="00F971F1">
        <w:trPr>
          <w:trHeight w:val="236"/>
          <w:jc w:val="center"/>
        </w:trPr>
        <w:tc>
          <w:tcPr>
            <w:tcW w:w="92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02365B5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904F7" w:rsidRPr="000F1A66" w14:paraId="46C4C805" w14:textId="77777777" w:rsidTr="00F971F1">
        <w:trPr>
          <w:trHeight w:val="236"/>
          <w:jc w:val="center"/>
        </w:trPr>
        <w:tc>
          <w:tcPr>
            <w:tcW w:w="2071" w:type="dxa"/>
            <w:shd w:val="clear" w:color="auto" w:fill="F2F2F2" w:themeFill="background1" w:themeFillShade="F2"/>
          </w:tcPr>
          <w:p w14:paraId="3D373AB5" w14:textId="77777777" w:rsidR="008904F7" w:rsidRPr="002808F0" w:rsidRDefault="008904F7" w:rsidP="00F971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808F0">
              <w:rPr>
                <w:rFonts w:ascii="Arial Narrow" w:hAnsi="Arial Narrow"/>
                <w:b/>
                <w:sz w:val="20"/>
                <w:szCs w:val="20"/>
              </w:rPr>
              <w:t>ZAHTJEV SE PODNOSI ZA:</w:t>
            </w:r>
          </w:p>
        </w:tc>
        <w:tc>
          <w:tcPr>
            <w:tcW w:w="295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3F51E" w14:textId="77777777" w:rsidR="008904F7" w:rsidRPr="002808F0" w:rsidRDefault="008904F7" w:rsidP="00F971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08F0">
              <w:rPr>
                <w:rFonts w:ascii="Arial Narrow" w:hAnsi="Arial Narrow"/>
                <w:b/>
                <w:sz w:val="18"/>
                <w:szCs w:val="18"/>
              </w:rPr>
              <w:t>UPIS</w:t>
            </w:r>
          </w:p>
        </w:tc>
        <w:tc>
          <w:tcPr>
            <w:tcW w:w="4226" w:type="dxa"/>
            <w:gridSpan w:val="4"/>
            <w:shd w:val="clear" w:color="auto" w:fill="F2F2F2" w:themeFill="background1" w:themeFillShade="F2"/>
          </w:tcPr>
          <w:p w14:paraId="006F3EB1" w14:textId="77777777" w:rsidR="008904F7" w:rsidRPr="002808F0" w:rsidRDefault="008904F7" w:rsidP="00F971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08F0">
              <w:rPr>
                <w:rFonts w:ascii="Arial Narrow" w:hAnsi="Arial Narrow"/>
                <w:b/>
                <w:sz w:val="20"/>
                <w:szCs w:val="20"/>
              </w:rPr>
              <w:t>DODATNI PODACI</w:t>
            </w:r>
          </w:p>
        </w:tc>
      </w:tr>
      <w:tr w:rsidR="008904F7" w:rsidRPr="000F1A66" w14:paraId="3F5FB501" w14:textId="77777777" w:rsidTr="008904F7">
        <w:trPr>
          <w:trHeight w:val="236"/>
          <w:jc w:val="center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063A38BE" w14:textId="77777777" w:rsidR="008904F7" w:rsidRPr="00A11871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 w:rsidRPr="00A11871">
              <w:rPr>
                <w:rFonts w:ascii="Arial Narrow" w:hAnsi="Arial Narrow"/>
                <w:sz w:val="20"/>
                <w:szCs w:val="20"/>
              </w:rPr>
              <w:t>SAKUPLJANJE</w:t>
            </w:r>
          </w:p>
        </w:tc>
        <w:tc>
          <w:tcPr>
            <w:tcW w:w="71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9F9690" w14:textId="77777777" w:rsidR="008904F7" w:rsidRPr="00A11871" w:rsidRDefault="008904F7" w:rsidP="00F971F1">
            <w:pPr>
              <w:rPr>
                <w:rFonts w:cstheme="minorHAnsi"/>
              </w:rPr>
            </w:pPr>
            <w:r w:rsidRPr="00A11871">
              <w:rPr>
                <w:rFonts w:cstheme="minorHAnsi"/>
              </w:rPr>
              <w:t>sakupljanje</w:t>
            </w:r>
          </w:p>
        </w:tc>
      </w:tr>
      <w:tr w:rsidR="008904F7" w:rsidRPr="000F1A66" w14:paraId="03BC336D" w14:textId="77777777" w:rsidTr="008904F7">
        <w:trPr>
          <w:trHeight w:val="236"/>
          <w:jc w:val="center"/>
        </w:trPr>
        <w:tc>
          <w:tcPr>
            <w:tcW w:w="2071" w:type="dxa"/>
            <w:vMerge w:val="restart"/>
            <w:shd w:val="clear" w:color="auto" w:fill="F2F2F2" w:themeFill="background1" w:themeFillShade="F2"/>
          </w:tcPr>
          <w:p w14:paraId="55AFC506" w14:textId="77777777" w:rsidR="008904F7" w:rsidRPr="000F1A66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OPORABU</w:t>
            </w: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532669F8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energetska oporaba određenog neopasnog otpada u svrhu proizvodnje toplinske energije</w:t>
            </w:r>
          </w:p>
        </w:tc>
      </w:tr>
      <w:tr w:rsidR="008904F7" w:rsidRPr="000F1A66" w14:paraId="278D9CA8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660D9863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329C0C38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biološka aerobna oporaba biootpada u svrhu proizvodnje komposta</w:t>
            </w:r>
          </w:p>
        </w:tc>
      </w:tr>
      <w:tr w:rsidR="008904F7" w:rsidRPr="000F1A66" w14:paraId="71F94D5B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7EBFAA7A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19FBF52C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oporaba otpadnog ulja radi proizvodnje biogoriva</w:t>
            </w:r>
          </w:p>
        </w:tc>
      </w:tr>
      <w:tr w:rsidR="008904F7" w:rsidRPr="000F1A66" w14:paraId="08A36C15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04199AFE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655BAA5C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oporaba drvnog otpada u svrhu proizvodnje proizvoda od drva</w:t>
            </w:r>
          </w:p>
        </w:tc>
      </w:tr>
      <w:tr w:rsidR="008904F7" w:rsidRPr="000F1A66" w14:paraId="6ED4105C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0076213F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4EE62987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oporaba otpadnog asfalta za proizvodnju asfalta na asfaltnoj bazi</w:t>
            </w:r>
          </w:p>
        </w:tc>
      </w:tr>
      <w:tr w:rsidR="008904F7" w:rsidRPr="000F1A66" w14:paraId="6E55D2FC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58848970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6F997CCE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popravak i čišćenje električnih i elektroničkih uređaja u svrhu ponovnog korištenja</w:t>
            </w:r>
          </w:p>
        </w:tc>
      </w:tr>
      <w:tr w:rsidR="008904F7" w:rsidRPr="000F1A66" w14:paraId="0897C570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6D8BF9F7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2E0172A4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mehanička priprema i nasipavanje otpada</w:t>
            </w:r>
          </w:p>
        </w:tc>
      </w:tr>
      <w:tr w:rsidR="008904F7" w:rsidRPr="000F1A66" w14:paraId="1B15D807" w14:textId="77777777" w:rsidTr="008904F7">
        <w:trPr>
          <w:trHeight w:val="236"/>
          <w:jc w:val="center"/>
        </w:trPr>
        <w:tc>
          <w:tcPr>
            <w:tcW w:w="2071" w:type="dxa"/>
            <w:vMerge/>
            <w:shd w:val="clear" w:color="auto" w:fill="F2F2F2" w:themeFill="background1" w:themeFillShade="F2"/>
          </w:tcPr>
          <w:p w14:paraId="417E1495" w14:textId="77777777" w:rsidR="008904F7" w:rsidRDefault="008904F7" w:rsidP="00F971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7" w:type="dxa"/>
            <w:gridSpan w:val="7"/>
            <w:shd w:val="clear" w:color="auto" w:fill="F2F2F2" w:themeFill="background1" w:themeFillShade="F2"/>
          </w:tcPr>
          <w:p w14:paraId="1CE86921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color w:val="231F20"/>
                <w:shd w:val="clear" w:color="auto" w:fill="FFFFFF"/>
              </w:rPr>
              <w:t>oporaba otpada na reciklažnom dvorištu za građevni otpad</w:t>
            </w:r>
          </w:p>
        </w:tc>
      </w:tr>
      <w:tr w:rsidR="008904F7" w:rsidRPr="000F1A66" w14:paraId="09FC3D85" w14:textId="77777777" w:rsidTr="00F971F1">
        <w:trPr>
          <w:trHeight w:val="236"/>
          <w:jc w:val="center"/>
        </w:trPr>
        <w:tc>
          <w:tcPr>
            <w:tcW w:w="9248" w:type="dxa"/>
            <w:gridSpan w:val="8"/>
            <w:shd w:val="clear" w:color="auto" w:fill="auto"/>
          </w:tcPr>
          <w:p w14:paraId="300D517F" w14:textId="77777777" w:rsidR="008904F7" w:rsidRPr="000F1A66" w:rsidRDefault="008904F7" w:rsidP="00F971F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2CD0DCA0" w14:textId="77777777" w:rsidR="008904F7" w:rsidRDefault="008904F7" w:rsidP="00A11871"/>
    <w:p w14:paraId="63ACC0A3" w14:textId="77777777" w:rsidR="00A11871" w:rsidRPr="00A11871" w:rsidRDefault="00A11871" w:rsidP="00A11871">
      <w:pPr>
        <w:spacing w:after="0" w:line="100" w:lineRule="atLeast"/>
        <w:ind w:right="82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8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VRSTAMA I KOLIČINAMA OTPADA KOJI ĆE SE SAKUPLJATI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A11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Dopuštena količina otpada koja se može nalaziti na lokaciji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gospodarenja otpadom </w:t>
      </w:r>
      <w:r w:rsidRPr="00A11871">
        <w:rPr>
          <w:rFonts w:ascii="Times New Roman" w:eastAsia="Times New Roman" w:hAnsi="Times New Roman" w:cs="Times New Roman"/>
          <w:sz w:val="24"/>
          <w:szCs w:val="24"/>
          <w:lang w:eastAsia="hr-HR"/>
        </w:rPr>
        <w:t>u jednom trenutku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 </w:t>
      </w:r>
    </w:p>
    <w:p w14:paraId="7567173C" w14:textId="77777777" w:rsidR="00A11871" w:rsidRPr="00A11871" w:rsidRDefault="00A11871" w:rsidP="00A11871">
      <w:pPr>
        <w:spacing w:after="0" w:line="100" w:lineRule="atLeast"/>
        <w:ind w:right="82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1551"/>
        <w:gridCol w:w="5661"/>
        <w:gridCol w:w="2051"/>
      </w:tblGrid>
      <w:tr w:rsidR="00A11871" w:rsidRPr="00A11871" w14:paraId="2D50D92A" w14:textId="77777777" w:rsidTr="00337C13"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EF359D4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  <w:t>br.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8C9C567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  <w:t>KLJUČNI BROJ OTPADA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FA6BA69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  <w:t>NAZIV OTPADA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4A3E9D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bCs/>
                <w:kern w:val="2"/>
                <w:lang w:eastAsia="zh-CN"/>
              </w:rPr>
              <w:t xml:space="preserve">DOPUŠTENA KOLIČINA  OTPADA NA LOKACIJI U JEDNOM TRENUTKU </w:t>
            </w:r>
          </w:p>
        </w:tc>
      </w:tr>
      <w:tr w:rsidR="00A11871" w:rsidRPr="00A11871" w14:paraId="45F73E5F" w14:textId="77777777" w:rsidTr="00337C13"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7E8B7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780C1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368DE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AF71F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</w:tr>
      <w:tr w:rsidR="00A11871" w:rsidRPr="00A11871" w14:paraId="6858BCBD" w14:textId="77777777" w:rsidTr="00337C13"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0A1BF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9F10F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189AB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B27F4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/>
              </w:rPr>
            </w:pPr>
          </w:p>
        </w:tc>
      </w:tr>
    </w:tbl>
    <w:p w14:paraId="2F4D9DAA" w14:textId="77777777" w:rsidR="00A11871" w:rsidRDefault="00A11871" w:rsidP="00A11871"/>
    <w:p w14:paraId="4FA65807" w14:textId="77777777" w:rsidR="00A11871" w:rsidRDefault="00A11871" w:rsidP="00A11871"/>
    <w:p w14:paraId="3B8BD325" w14:textId="77777777" w:rsidR="00A11871" w:rsidRPr="00A11871" w:rsidRDefault="00A11871" w:rsidP="00A11871">
      <w:pPr>
        <w:suppressLineNumbers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zh-CN"/>
        </w:rPr>
        <w:t xml:space="preserve">PODACI O LOKACIJI NA KOJOJ ĆE SE OBAVLJATI SKLADIŠTENJE OTPADA - </w:t>
      </w:r>
      <w:r w:rsidRPr="00A1187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zh-CN"/>
        </w:rPr>
        <w:t>lokacija gospodarenja otpadom</w:t>
      </w:r>
    </w:p>
    <w:tbl>
      <w:tblPr>
        <w:tblW w:w="965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7"/>
        <w:gridCol w:w="1806"/>
        <w:gridCol w:w="1274"/>
        <w:gridCol w:w="1520"/>
        <w:gridCol w:w="3320"/>
      </w:tblGrid>
      <w:tr w:rsidR="00A11871" w:rsidRPr="00A11871" w14:paraId="402003A8" w14:textId="77777777" w:rsidTr="00337C13"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7E2FFAAB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MJESTO</w:t>
            </w: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07639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39B4252D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BROJ POŠTE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2F93A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78420D08" w14:textId="77777777" w:rsidTr="00337C13"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73918DA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ULICA I BROJ</w:t>
            </w:r>
          </w:p>
        </w:tc>
        <w:tc>
          <w:tcPr>
            <w:tcW w:w="3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B2E59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14ADED4B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ŽUPANIJA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0B5E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6B18D8BF" w14:textId="77777777" w:rsidTr="00337C13">
        <w:tc>
          <w:tcPr>
            <w:tcW w:w="965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8FADDBA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KATASTARSKI PODACI</w:t>
            </w:r>
          </w:p>
        </w:tc>
      </w:tr>
      <w:tr w:rsidR="00A11871" w:rsidRPr="00A11871" w14:paraId="365EDEA8" w14:textId="77777777" w:rsidTr="00337C13"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33400FB9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K. O.</w:t>
            </w:r>
          </w:p>
        </w:tc>
        <w:tc>
          <w:tcPr>
            <w:tcW w:w="79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7FB42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1BF6ED5D" w14:textId="77777777" w:rsidTr="00337C13"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7090980A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K. Č. BR.</w:t>
            </w:r>
          </w:p>
        </w:tc>
        <w:tc>
          <w:tcPr>
            <w:tcW w:w="79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9CA2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7CB8290B" w14:textId="77777777" w:rsidTr="00337C13">
        <w:tc>
          <w:tcPr>
            <w:tcW w:w="965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AFCBBA9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ZEMLJIŠNOKNJIŽNI PODACI</w:t>
            </w:r>
          </w:p>
        </w:tc>
      </w:tr>
      <w:tr w:rsidR="00A11871" w:rsidRPr="00A11871" w14:paraId="41D1EF19" w14:textId="77777777" w:rsidTr="00337C13"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400B8581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K.O.</w:t>
            </w:r>
          </w:p>
        </w:tc>
        <w:tc>
          <w:tcPr>
            <w:tcW w:w="79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D7F1B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3A3441B3" w14:textId="77777777" w:rsidTr="00337C13"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DCE6614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ZK.UL.BR.</w:t>
            </w:r>
          </w:p>
        </w:tc>
        <w:tc>
          <w:tcPr>
            <w:tcW w:w="79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ED87E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13F6CBCB" w14:textId="77777777" w:rsidTr="00337C13"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01C94766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ZK. Č. BR.</w:t>
            </w:r>
          </w:p>
        </w:tc>
        <w:tc>
          <w:tcPr>
            <w:tcW w:w="79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4BF97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35D8A410" w14:textId="77777777" w:rsidTr="00337C13">
        <w:tc>
          <w:tcPr>
            <w:tcW w:w="96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DF4DD3F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Palatino Linotype" w:eastAsia="Calibri" w:hAnsi="Palatino Linotype" w:cs="Times New Roman"/>
                <w:b/>
                <w:kern w:val="2"/>
                <w:sz w:val="24"/>
                <w:szCs w:val="24"/>
                <w:lang w:eastAsia="zh-CN"/>
              </w:rPr>
              <w:t xml:space="preserve">AKT O UPORABI </w:t>
            </w:r>
          </w:p>
        </w:tc>
      </w:tr>
      <w:tr w:rsidR="00A11871" w:rsidRPr="00A11871" w14:paraId="26187632" w14:textId="77777777" w:rsidTr="00337C13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31ABC20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Palatino Linotype" w:eastAsia="Calibri" w:hAnsi="Palatino Linotype" w:cs="Times New Roman"/>
                <w:kern w:val="2"/>
                <w:sz w:val="20"/>
                <w:szCs w:val="20"/>
                <w:lang w:eastAsia="zh-CN"/>
              </w:rPr>
              <w:t>KLASA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3AFE7F3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Palatino Linotype" w:eastAsia="Calibri" w:hAnsi="Palatino Linotype" w:cs="Times New Roman"/>
                <w:kern w:val="2"/>
                <w:sz w:val="20"/>
                <w:szCs w:val="20"/>
                <w:lang w:eastAsia="zh-CN"/>
              </w:rPr>
              <w:t>URBROJ</w:t>
            </w:r>
          </w:p>
        </w:tc>
        <w:tc>
          <w:tcPr>
            <w:tcW w:w="6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E622453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11871">
              <w:rPr>
                <w:rFonts w:ascii="Palatino Linotype" w:eastAsia="Calibri" w:hAnsi="Palatino Linotype" w:cs="Times New Roman"/>
                <w:kern w:val="2"/>
                <w:sz w:val="20"/>
                <w:szCs w:val="20"/>
                <w:lang w:eastAsia="zh-CN"/>
              </w:rPr>
              <w:t xml:space="preserve">NAZIV RJEŠENJA I TIJELO KOJE JE IZDALO RJEŠENJE </w:t>
            </w:r>
          </w:p>
        </w:tc>
      </w:tr>
      <w:tr w:rsidR="00A11871" w:rsidRPr="00A11871" w14:paraId="73B9F953" w14:textId="77777777" w:rsidTr="00337C13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B212D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479FC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8B30E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11871" w:rsidRPr="00A11871" w14:paraId="025DCD05" w14:textId="77777777" w:rsidTr="00337C13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ECBCE" w14:textId="77777777" w:rsidR="00A11871" w:rsidRPr="00A11871" w:rsidRDefault="00A11871" w:rsidP="00A11871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71FB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A8359" w14:textId="77777777" w:rsidR="00A11871" w:rsidRPr="00A11871" w:rsidRDefault="00A11871" w:rsidP="00A11871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38EEA91" w14:textId="77777777" w:rsidR="00A11871" w:rsidRDefault="00A11871" w:rsidP="00A11871"/>
    <w:p w14:paraId="7CC9ADE4" w14:textId="77777777" w:rsidR="00A11871" w:rsidRPr="00A11871" w:rsidRDefault="00A11871" w:rsidP="00A11871">
      <w:pPr>
        <w:rPr>
          <w:b/>
        </w:rPr>
      </w:pPr>
      <w:r w:rsidRPr="00A11871">
        <w:rPr>
          <w:b/>
        </w:rPr>
        <w:t>ISPUNJAVANJE OPĆIH UVJETA</w:t>
      </w:r>
    </w:p>
    <w:tbl>
      <w:tblPr>
        <w:tblW w:w="9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008"/>
        <w:gridCol w:w="6520"/>
      </w:tblGrid>
      <w:tr w:rsidR="00A11871" w:rsidRPr="00A11871" w14:paraId="45F5E7BF" w14:textId="77777777" w:rsidTr="00337C13">
        <w:trPr>
          <w:trHeight w:val="681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0210647" w14:textId="77777777" w:rsidR="00A11871" w:rsidRPr="00A11871" w:rsidRDefault="00A11871" w:rsidP="00A1187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AB4C5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1. Pravilnika o gospodarenju otpadom (NN 106/22)</w:t>
            </w:r>
          </w:p>
        </w:tc>
      </w:tr>
      <w:tr w:rsidR="00A11871" w:rsidRPr="00A11871" w14:paraId="62EF3EF9" w14:textId="77777777" w:rsidTr="00337C13">
        <w:trPr>
          <w:trHeight w:val="681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5C85FBC" w14:textId="77777777" w:rsidR="00A11871" w:rsidRPr="00A11871" w:rsidRDefault="00A11871" w:rsidP="00A1187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D5E80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onemogućeno istjecanje oborinske vode koja je došla u doticaj s otpadom na tlo, u vode, podzemne vode i more ili je onemogućeno da otpad dođe u doticaj s oborinskom vodom</w:t>
            </w:r>
          </w:p>
        </w:tc>
      </w:tr>
      <w:tr w:rsidR="00A11871" w:rsidRPr="00A11871" w14:paraId="026538ED" w14:textId="77777777" w:rsidTr="00337C13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4FB4A5" w14:textId="77777777" w:rsidR="00A11871" w:rsidRPr="00A11871" w:rsidRDefault="00A11871" w:rsidP="00A1187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7FD1DDC7" w14:textId="77777777" w:rsidR="00A11871" w:rsidRPr="00A11871" w:rsidRDefault="00A11871" w:rsidP="00A1187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1235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7754EFD3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0457C05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38DD6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2. Pravilnika o gospodarenju otpadom (NN 106/22)</w:t>
            </w:r>
          </w:p>
        </w:tc>
      </w:tr>
      <w:tr w:rsidR="00A11871" w:rsidRPr="00A11871" w14:paraId="47A70287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0815E3C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8EE33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onemogućeno raznošenje otpada u okoliš, odnosno da je onemogućeno njegovo razlijevanje i ispuštanje u okoliš</w:t>
            </w:r>
          </w:p>
        </w:tc>
      </w:tr>
      <w:tr w:rsidR="00A11871" w:rsidRPr="00A11871" w14:paraId="3B7861FF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D18D360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6C71FE03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AA7E8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66724E6A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4545113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70CCA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3. Pravilnika o gospodarenju otpadom (NN 106/22)</w:t>
            </w:r>
          </w:p>
        </w:tc>
      </w:tr>
      <w:tr w:rsidR="00A11871" w:rsidRPr="00A11871" w14:paraId="51D84AC1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A3718B8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C1E04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građevina ima podnu površinu otpornu na djelovanje otpada</w:t>
            </w:r>
          </w:p>
        </w:tc>
      </w:tr>
      <w:tr w:rsidR="00A11871" w:rsidRPr="00A11871" w14:paraId="4EE20C37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1B8BD01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5737C8F9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5CACE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217D71D9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0FB697B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A62CF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4. Pravilnika o gospodarenju otpadom (NN 106/22)</w:t>
            </w:r>
          </w:p>
        </w:tc>
      </w:tr>
      <w:tr w:rsidR="00A11871" w:rsidRPr="00A11871" w14:paraId="02D05555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8552B8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34238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neovlaštenim osobama onemogućen pristup otpadu</w:t>
            </w:r>
          </w:p>
        </w:tc>
      </w:tr>
      <w:tr w:rsidR="00A11871" w:rsidRPr="00A11871" w14:paraId="4E26D0E8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D666271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2BDB443F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60266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768F53A1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229238E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5DF2B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5. Pravilnika o gospodarenju otpadom (NN 106/22)</w:t>
            </w:r>
          </w:p>
        </w:tc>
      </w:tr>
      <w:tr w:rsidR="00A11871" w:rsidRPr="00A11871" w14:paraId="331C71D8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3882D9D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AD00D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su na vidljivom i pristupačnom mjestu obavljanja tehnološkog procesa postavljene upute za rad</w:t>
            </w:r>
          </w:p>
        </w:tc>
      </w:tr>
      <w:tr w:rsidR="00A11871" w:rsidRPr="00A11871" w14:paraId="7828BD0D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5482D41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1CFD02E3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48400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693DCB1E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DE99FBF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23E54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6. Pravilnika o gospodarenju otpadom (NN 106/22)</w:t>
            </w:r>
          </w:p>
        </w:tc>
      </w:tr>
      <w:tr w:rsidR="00A11871" w:rsidRPr="00A11871" w14:paraId="2EDA5E63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2A63D5B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C7E69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mjesto obavljanja tehnološkog procesa opremljeno rasvjetom</w:t>
            </w:r>
          </w:p>
        </w:tc>
      </w:tr>
      <w:tr w:rsidR="00A11871" w:rsidRPr="00A11871" w14:paraId="21BAE57E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A63B716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2E738688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CEA72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6A148A08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A02D098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90512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7. Pravilnika o gospodarenju otpadom (NN 106/22)</w:t>
            </w:r>
          </w:p>
        </w:tc>
      </w:tr>
      <w:tr w:rsidR="00A11871" w:rsidRPr="00A11871" w14:paraId="706AF93B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10056E8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2E1BD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lokacija gospodarenja otpadom označena sukladno članku 19. ovoga Pravilnika</w:t>
            </w:r>
          </w:p>
        </w:tc>
      </w:tr>
      <w:tr w:rsidR="00A11871" w:rsidRPr="00A11871" w14:paraId="3D12D5C8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2E84A16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346F1F5C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2DF72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271AB1D2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6A02A6F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89076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8. Pravilnika o gospodarenju otpadom (NN 106/22)</w:t>
            </w:r>
          </w:p>
        </w:tc>
      </w:tr>
      <w:tr w:rsidR="00A11871" w:rsidRPr="00A11871" w14:paraId="7C7945E5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6248C8C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A6BD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do lokacije gospodarenja otpadom omogućen nesmetan pristup vozilu</w:t>
            </w:r>
          </w:p>
        </w:tc>
      </w:tr>
      <w:tr w:rsidR="00A11871" w:rsidRPr="00A11871" w14:paraId="2F73A27D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37B6CF6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410FF335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209EE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12C10914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22D63A4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42FF8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1. točka 9. Pravilnika o gospodarenju otpadom (NN 106/22)</w:t>
            </w:r>
          </w:p>
        </w:tc>
      </w:tr>
      <w:tr w:rsidR="00A11871" w:rsidRPr="00A11871" w14:paraId="05256D32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285EF6D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EF40D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lokacija gospodarenja otpadom opremljena opremom i sredstvima za čišćenje rasutog i razlivenog otpada ovisno o kemijskim i fizikalnim svojstvima otpada</w:t>
            </w:r>
          </w:p>
        </w:tc>
      </w:tr>
      <w:tr w:rsidR="00A11871" w:rsidRPr="00A11871" w14:paraId="13E948BC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7DABBCF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6D63A0DB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ED54A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7D49C3F4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7980765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0A940" w14:textId="77777777" w:rsidR="00A11871" w:rsidRPr="00A11871" w:rsidRDefault="00A11871" w:rsidP="00A118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2. Pravilnika o gospodarenju otpadom (NN 106/22)</w:t>
            </w:r>
          </w:p>
        </w:tc>
      </w:tr>
      <w:tr w:rsidR="00A11871" w:rsidRPr="00A11871" w14:paraId="62B190FA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1EF6154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58665" w14:textId="77777777" w:rsidR="00A11871" w:rsidRPr="00A11871" w:rsidRDefault="00DC7C32" w:rsidP="0030400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Iznimno od stavka 1. ovoga članka ako se postupak gospodarenja otpadom obavlja mobilnim uređajem za obradu otpada obvezno je ispuniti uvjete propisane stavkom 1. točkama 1., 2. i 4. do 9. ovoga članka te lokacija na kojoj je postavljen mobilni uređaj za obradu otpada mora biti ograđena.</w:t>
            </w:r>
          </w:p>
        </w:tc>
      </w:tr>
      <w:tr w:rsidR="00A11871" w:rsidRPr="00A11871" w14:paraId="2FBE5EFA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113C12D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7DE6CCEF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0FB1E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598E1BFC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54E75B0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5A4C0" w14:textId="77777777" w:rsidR="00A11871" w:rsidRPr="00A11871" w:rsidRDefault="00A11871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13. stavak </w:t>
            </w:r>
            <w:r w:rsid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točka 1. Pravilnika o gospodarenju otpadom (NN 106/22)</w:t>
            </w:r>
          </w:p>
        </w:tc>
      </w:tr>
      <w:tr w:rsidR="00A11871" w:rsidRPr="00A11871" w14:paraId="32A52CBE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D48244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63DDF" w14:textId="77777777" w:rsidR="00DC7C32" w:rsidRPr="00DC7C32" w:rsidRDefault="00DC7C32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Ako obavljanje postupka gospodarenja otpadom uključuje gospodarenje opasnim otpadom potrebno je udovoljiti i sljedećim uvjetima:</w:t>
            </w:r>
          </w:p>
          <w:p w14:paraId="38D085AE" w14:textId="77777777" w:rsidR="00A11871" w:rsidRPr="00A11871" w:rsidRDefault="00DC7C32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da je građevina natkrivena</w:t>
            </w:r>
          </w:p>
        </w:tc>
      </w:tr>
      <w:tr w:rsidR="00A11871" w:rsidRPr="00A11871" w14:paraId="7A30DC12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5B24846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238B5157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C3B04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60021E1B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F7793A7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843E9" w14:textId="77777777" w:rsidR="00A11871" w:rsidRPr="00A11871" w:rsidRDefault="00A11871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13. stavak </w:t>
            </w:r>
            <w:r w:rsid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točka </w:t>
            </w:r>
            <w:r w:rsid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 o gospodarenju otpadom (NN 106/22)</w:t>
            </w:r>
          </w:p>
        </w:tc>
      </w:tr>
      <w:tr w:rsidR="00A11871" w:rsidRPr="00A11871" w14:paraId="109914DA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C49D131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B2768" w14:textId="77777777" w:rsidR="00DC7C32" w:rsidRPr="00DC7C32" w:rsidRDefault="00DC7C32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Ako obavljanje postupka gospodarenja otpadom uključuje gospodarenje opasnim otpadom potrebno je udovoljiti i sljedećim uvjetima:</w:t>
            </w:r>
          </w:p>
          <w:p w14:paraId="46539C1E" w14:textId="77777777" w:rsidR="00A11871" w:rsidRPr="00A11871" w:rsidRDefault="00DC7C32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da je onemogućen dotok oborinskih voda na otpad.</w:t>
            </w:r>
          </w:p>
        </w:tc>
      </w:tr>
      <w:tr w:rsidR="00A11871" w:rsidRPr="00A11871" w14:paraId="7D5E1854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BC19C87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2D9EBCC3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56E3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1871" w:rsidRPr="00A11871" w14:paraId="1CA0FE40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D854DD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C6FFD" w14:textId="77777777" w:rsidR="00A11871" w:rsidRPr="00A11871" w:rsidRDefault="00A11871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13. stavak </w:t>
            </w:r>
            <w:r w:rsid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 o gospodarenju otpadom (NN 106/22)</w:t>
            </w:r>
          </w:p>
        </w:tc>
      </w:tr>
      <w:tr w:rsidR="00A11871" w:rsidRPr="00A11871" w14:paraId="48DE3B0C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7469FB6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9E761" w14:textId="77777777" w:rsidR="00A11871" w:rsidRPr="00A11871" w:rsidRDefault="00DC7C32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Iznimno od stavka 3. točke 1. ovoga članka građevina ne mora biti natkrivena ako se u Elaboratu gospodarenja otpadom (u daljnjem tekstu: Elaborat), odnosno upisu u Očevidnik sakupljača i oporabitelja, ovisno o opasnom svojstvu i vrsti otpada kojim će se u njemu gospodariti, iznesu i obrazlože razlozi zbog kojih građevina ili dio građevine ne može biti natkriven, ako posebnim propisima kojima se uređuje gospodarenje posebnim kategorijama otpada nije propisano drugačije.</w:t>
            </w:r>
          </w:p>
        </w:tc>
      </w:tr>
      <w:tr w:rsidR="00A11871" w:rsidRPr="00A11871" w14:paraId="2826694E" w14:textId="77777777" w:rsidTr="00A11871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08C07CA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67138E59" w14:textId="77777777" w:rsidR="00A11871" w:rsidRPr="00A11871" w:rsidRDefault="00A11871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8CE7C" w14:textId="77777777" w:rsidR="00A11871" w:rsidRPr="00A11871" w:rsidRDefault="00A11871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C7C32" w:rsidRPr="00A11871" w14:paraId="20FD9879" w14:textId="77777777" w:rsidTr="00DC7C32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A28B5B" w14:textId="77777777" w:rsidR="00DC7C32" w:rsidRPr="00A11871" w:rsidRDefault="00DC7C32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propisa i referenca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920D6" w14:textId="77777777" w:rsidR="00DC7C32" w:rsidRPr="00A11871" w:rsidRDefault="00DC7C32" w:rsidP="00DC7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13. stavak 5. Pravilnika o gospodarenju otpadom (NN 106/22)</w:t>
            </w:r>
          </w:p>
        </w:tc>
      </w:tr>
      <w:tr w:rsidR="00DC7C32" w:rsidRPr="00A11871" w14:paraId="4F424063" w14:textId="77777777" w:rsidTr="00DC7C32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CF0E8F" w14:textId="77777777" w:rsidR="00DC7C32" w:rsidRPr="00A11871" w:rsidRDefault="00DC7C32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 uvjet gospodarenja otpadom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E4B0F" w14:textId="77777777" w:rsidR="00DC7C32" w:rsidRPr="00A11871" w:rsidRDefault="00DC7C32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7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Skladištenje i obrada otpada, koji može uzrokovati neugodu zbog mirisa otpada izvan lokacije gospodarenja otpadom, mora se obavljati uz primjenu mjera sprečavanja neugode uzrokovane mirisom otpada.</w:t>
            </w:r>
          </w:p>
        </w:tc>
      </w:tr>
      <w:tr w:rsidR="00DC7C32" w:rsidRPr="00A11871" w14:paraId="62D7CA7A" w14:textId="77777777" w:rsidTr="00DC7C32">
        <w:trPr>
          <w:trHeight w:val="563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ACE9CF" w14:textId="77777777" w:rsidR="00DC7C32" w:rsidRPr="00A11871" w:rsidRDefault="00DC7C32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1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Način ispunjavanja </w:t>
            </w:r>
          </w:p>
          <w:p w14:paraId="73928DDA" w14:textId="77777777" w:rsidR="00DC7C32" w:rsidRPr="00A11871" w:rsidRDefault="00DC7C32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8D45D" w14:textId="77777777" w:rsidR="00DC7C32" w:rsidRPr="00A11871" w:rsidRDefault="00DC7C32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B7F8A3B" w14:textId="77777777" w:rsidR="00A11871" w:rsidRDefault="00A11871" w:rsidP="00A11871"/>
    <w:p w14:paraId="36E6C018" w14:textId="77777777" w:rsidR="007252AC" w:rsidRDefault="007252AC" w:rsidP="00A11871"/>
    <w:p w14:paraId="4D641735" w14:textId="0159D481" w:rsidR="00A841EA" w:rsidRPr="00A11871" w:rsidRDefault="00A841EA" w:rsidP="00A841EA">
      <w:pPr>
        <w:rPr>
          <w:b/>
        </w:rPr>
      </w:pPr>
      <w:r w:rsidRPr="00A11871">
        <w:rPr>
          <w:b/>
        </w:rPr>
        <w:t xml:space="preserve">ISPUNJAVANJE </w:t>
      </w:r>
      <w:r w:rsidR="00772280">
        <w:rPr>
          <w:b/>
        </w:rPr>
        <w:t>POSEBNIH</w:t>
      </w:r>
      <w:r w:rsidRPr="00A11871">
        <w:rPr>
          <w:b/>
        </w:rPr>
        <w:t xml:space="preserve"> UVJETA</w:t>
      </w:r>
    </w:p>
    <w:p w14:paraId="13DB38D4" w14:textId="77777777" w:rsidR="00A841EA" w:rsidRDefault="00A841EA" w:rsidP="00A841E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008"/>
        <w:gridCol w:w="6520"/>
      </w:tblGrid>
      <w:tr w:rsidR="00A841EA" w14:paraId="2D860CC3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C1FD80F" w14:textId="77777777" w:rsidR="00A841EA" w:rsidRDefault="00A841EA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09662" w14:textId="77777777" w:rsidR="00A841EA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14. stavak 2. Pravilnika o gospodarenju otpadom (NN 106/22)</w:t>
            </w:r>
          </w:p>
        </w:tc>
      </w:tr>
      <w:tr w:rsidR="00A841EA" w14:paraId="47E8E734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AA4628B" w14:textId="77777777" w:rsidR="00A841EA" w:rsidRDefault="00A841EA" w:rsidP="00337C1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52FD5" w14:textId="77777777" w:rsidR="00A841EA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raspolaganje skladištem otpada</w:t>
            </w:r>
          </w:p>
        </w:tc>
      </w:tr>
      <w:tr w:rsidR="00A841EA" w14:paraId="15139E3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CFA9426" w14:textId="77777777" w:rsidR="00A841EA" w:rsidRDefault="00A841EA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262FA" w14:textId="77777777" w:rsidR="00A841EA" w:rsidRDefault="00A841EA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6BDD40" w14:textId="77777777" w:rsidR="00A841EA" w:rsidRDefault="00A841EA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53024A9F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CA9862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BC49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22. stavak 4. Zakona o gospodarenju otpadom (NN 84/21)</w:t>
            </w:r>
          </w:p>
        </w:tc>
      </w:tr>
      <w:tr w:rsidR="00337C13" w14:paraId="69BEAB0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9F58736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0E71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Kad je otpad potrebno oporabiti ili olakšati pripremu za ponovnu uporabu, recikliranje ili drugi postupak oporabe, otpad se mora sakupljati odvojeno te se ne smije miješati s drugim otpadom i tvarima koja imaju drukčija svojstva.</w:t>
            </w:r>
          </w:p>
        </w:tc>
      </w:tr>
      <w:tr w:rsidR="00337C13" w14:paraId="36B56D30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2B442F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A27F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5C22F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1C522DC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92AAB0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FBDD4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15. stavak 1. Pravilnika o gospodarenju otpadom (NN 106/22)</w:t>
            </w:r>
          </w:p>
        </w:tc>
      </w:tr>
      <w:tr w:rsidR="00337C13" w14:paraId="2DAFB451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7B31B3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8B4DF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Otpad se mora prikupljati vozilom koje je opremljeno s opremom koja onemogućava rasipanje, prolijevanje, odnosno ispuštanje otpada te širenje prašine i neugodnih mirisa.</w:t>
            </w:r>
          </w:p>
        </w:tc>
      </w:tr>
      <w:tr w:rsidR="00337C13" w14:paraId="080D9622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8A5511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45B50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CFC6E1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01D2A687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C455B84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47D2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16. stavak 2. točka 1. Pravilnika o gospodarenju otpadom (NN 106/22)</w:t>
            </w:r>
          </w:p>
        </w:tc>
      </w:tr>
      <w:tr w:rsidR="00337C13" w14:paraId="704ABEB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94B3C9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06BDD" w14:textId="77777777" w:rsidR="00337C13" w:rsidRP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koja preuzima otpad dužna je u okviru tehnološkog procesa prihvata otpada:</w:t>
            </w:r>
          </w:p>
          <w:p w14:paraId="5C16C32F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provjerom utvrditi cjelovitost i točnost propisane prateće dokumentacije otpada kojeg se preuzima</w:t>
            </w:r>
          </w:p>
        </w:tc>
      </w:tr>
      <w:tr w:rsidR="00337C13" w14:paraId="57F846D4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E839CD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5CC9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266B8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22D25F7B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AC2079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C84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16. stavak 2. točka 2. Pravilnika o gospodarenju otpadom (NN 106/22)</w:t>
            </w:r>
          </w:p>
        </w:tc>
      </w:tr>
      <w:tr w:rsidR="00337C13" w14:paraId="4D558EB1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BA5A5A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206A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koja preuzima otpad dužna je u okviru tehnološkog procesa prihvata otpada:</w:t>
            </w:r>
          </w:p>
          <w:p w14:paraId="40566460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pregledom otpada utvrditi odgovara li pošiljka otpada koju preuzima dokumentaciji koja prati tu pošiljku</w:t>
            </w:r>
          </w:p>
        </w:tc>
      </w:tr>
      <w:tr w:rsidR="00337C13" w14:paraId="17D25E24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64FF1A4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61C8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B091B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597648A4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C7243F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595F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16. stavak 2. točka 3. Pravilnika o gospodarenju otpadom (NN 106/22)</w:t>
            </w:r>
          </w:p>
        </w:tc>
      </w:tr>
      <w:tr w:rsidR="00337C13" w14:paraId="78AC3DF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CDB2B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DE8F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koja preuzima otpad dužna je u okviru tehnološkog procesa prihvata otpada:</w:t>
            </w:r>
          </w:p>
          <w:p w14:paraId="6EEF982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utvrditi masu pošiljke koristeći uređaj za određivanje mase (vagom)</w:t>
            </w:r>
          </w:p>
        </w:tc>
      </w:tr>
      <w:tr w:rsidR="00337C13" w14:paraId="27ED6237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2D2496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6ED6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DF55D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72BE476F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8DD9F8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E3684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16. stavak 2. točka 4. Pravilnika o gospodarenju otpadom (NN 106/22)</w:t>
            </w:r>
          </w:p>
        </w:tc>
      </w:tr>
      <w:tr w:rsidR="00337C13" w14:paraId="6446E010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8C7533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0B31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koja preuzima otpad dužna je u okviru tehnološkog procesa prihvata otpada:</w:t>
            </w:r>
          </w:p>
          <w:p w14:paraId="1E740740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poduzeti ostale mjere određenih Elaboratom odnosno upisom u Očevidnik sakupljača i oporabitelja</w:t>
            </w:r>
          </w:p>
        </w:tc>
      </w:tr>
      <w:tr w:rsidR="00337C13" w14:paraId="151ABA79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E0EC066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7C2D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F9F43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0D27530E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D707B4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69CB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1. Pravilnika o gospodarenju otpadom (NN 106/22)</w:t>
            </w:r>
          </w:p>
        </w:tc>
      </w:tr>
      <w:tr w:rsidR="00337C13" w14:paraId="38AE7CF9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8A9FE81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55A1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Tehnološki proces skladištenja otpada mora se obavljati na način da se otpad skladišti odvojeno po svojstvu, vrsti i agregatnom stanju.</w:t>
            </w:r>
          </w:p>
        </w:tc>
      </w:tr>
      <w:tr w:rsidR="00337C13" w14:paraId="4942B810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8FD3B1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0CB01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08C38C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63571F8D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F9C0E5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FC360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2. Pravilnika o gospodarenju otpadom (NN 106/22)</w:t>
            </w:r>
          </w:p>
        </w:tc>
      </w:tr>
      <w:tr w:rsidR="00337C13" w14:paraId="2B361637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6250B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F7D4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kladište u kojem se obavlja tehnološki proces skladištenja otpada mora biti pod neprekidnim nadzorom.</w:t>
            </w:r>
          </w:p>
        </w:tc>
      </w:tr>
      <w:tr w:rsidR="00337C13" w14:paraId="63EF9EAC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4FEF48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8A461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C7114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70938552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AA7154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955F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3. točka 1. Pravilnika o gospodarenju otpadom (NN 106/22)</w:t>
            </w:r>
          </w:p>
        </w:tc>
      </w:tr>
      <w:tr w:rsidR="00337C13" w14:paraId="6F6F9E12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66E9B9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3D2FC" w14:textId="77777777" w:rsidR="00337C13" w:rsidRP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 u kojem se obavlja tehnološki proces skladištenja otpada mora biti opremljeno primarnim spremnicima za skladištenje otpada koji moraju biti:</w:t>
            </w:r>
          </w:p>
          <w:p w14:paraId="76D1F34C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izrađeni od materijala otpornog na djelovanje uskladištenog otpada</w:t>
            </w:r>
          </w:p>
        </w:tc>
      </w:tr>
      <w:tr w:rsidR="00337C13" w14:paraId="54FC27E0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810154C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DC8B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DA18F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16E18E9B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892910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3369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3. točka 2. Pravilnika o gospodarenju otpadom (NN 106/22)</w:t>
            </w:r>
          </w:p>
        </w:tc>
      </w:tr>
      <w:tr w:rsidR="00337C13" w14:paraId="2E2B98F6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62884A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70624" w14:textId="77777777" w:rsidR="00337C13" w:rsidRP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 u kojem se obavlja tehnološki proces skladištenja otpada mora biti opremljeno primarnim spremnicima za skladištenje otpada koji moraju biti:</w:t>
            </w:r>
          </w:p>
          <w:p w14:paraId="60336160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izrađeni na način koji omogućava sigurno punjenje, pražnjenje, odzračivanje, uzimanje uzoraka i po potrebi nepropusno zatvaranje</w:t>
            </w:r>
          </w:p>
        </w:tc>
      </w:tr>
      <w:tr w:rsidR="00337C13" w14:paraId="562A1EF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997DD3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EB4F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4138B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7D194F59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8F3036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69B8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3. točka 3. Pravilnika o gospodarenju otpadom (NN 106/22)</w:t>
            </w:r>
          </w:p>
        </w:tc>
      </w:tr>
      <w:tr w:rsidR="00337C13" w14:paraId="7E584519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F060A3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7D47" w14:textId="77777777" w:rsidR="00337C13" w:rsidRP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 u kojem se obavlja tehnološki proces skladištenja otpada mora biti opremljeno primarnim spremnicima za skladištenje otpada koji moraju biti:</w:t>
            </w:r>
          </w:p>
          <w:p w14:paraId="014CE776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označeni čitljivom oznakom koja sadrži podatke o nazivu posjednika otpada, ključni broj i naziv otpada te u slučaju opasnog otpada, natpis »OPASNI OTPAD« i oznaku odgovarajućeg opasnog svojstva otpada.</w:t>
            </w:r>
          </w:p>
        </w:tc>
      </w:tr>
      <w:tr w:rsidR="00337C13" w14:paraId="61C9041D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B5FC8DF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9CA8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CBB41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07D49FC1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7AFAEF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13A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4. Pravilnika o gospodarenju otpadom (NN 106/22)</w:t>
            </w:r>
          </w:p>
        </w:tc>
      </w:tr>
      <w:tr w:rsidR="00337C13" w14:paraId="27A3DA54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0162A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2EC6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7C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Iznimno od stavka 3. ovoga članka, ako tehnološki proces skladištenja otpada uključuje samo skladištenje krutog otpada, skladište u kojem se obavlja takav tehnološki proces ne mora biti opremljeno primarnim spremnicima već se takav otpad može skladištiti u rasutom stanju, ako se Elaboratom, odnosno u upisu u Očevidnik sakupljača i oporabitelja, iznesu i obrazlože razlozi iz kojih se taj proces ne može obavljati u spremniku.</w:t>
            </w:r>
          </w:p>
        </w:tc>
      </w:tr>
      <w:tr w:rsidR="00337C13" w14:paraId="131C478C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3FB87C1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3DCA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845E24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0968FCB6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EF18FB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233F" w14:textId="77777777" w:rsidR="00337C13" w:rsidRDefault="00337C13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17. stavak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točka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 o gospodarenju otpadom (NN 106/22)</w:t>
            </w:r>
          </w:p>
        </w:tc>
      </w:tr>
      <w:tr w:rsidR="00337C13" w14:paraId="56E82FD3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BB376E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5833D" w14:textId="77777777" w:rsidR="00825154" w:rsidRP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Podna površina skladišta:</w:t>
            </w:r>
          </w:p>
          <w:p w14:paraId="55E896A6" w14:textId="77777777" w:rsidR="00337C13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mora biti nepropusna za otpad koji se u njemu skladišti</w:t>
            </w:r>
          </w:p>
        </w:tc>
      </w:tr>
      <w:tr w:rsidR="00337C13" w14:paraId="31E3A5F3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47FA37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F090F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FB75D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180438FB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56218A6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842B7" w14:textId="77777777" w:rsidR="00337C13" w:rsidRDefault="00337C13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17. stavak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točka 2. Pravilnika o gospodarenju otpadom (NN 106/22)</w:t>
            </w:r>
          </w:p>
        </w:tc>
      </w:tr>
      <w:tr w:rsidR="00337C13" w14:paraId="4B5E3D5A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50AA82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10DF9" w14:textId="77777777" w:rsidR="00825154" w:rsidRP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Podna površina skladišta:</w:t>
            </w:r>
          </w:p>
          <w:p w14:paraId="38E1D968" w14:textId="77777777" w:rsidR="00337C13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mora biti izvedena na način da se rasuti otpad može jednostavno ukloniti s podne površine, što uključuje betonsku ili asfaltnu podlogu za kruti otpad, te betonsku s premazom ili aditivom koji sprečava upijanje tekućine u podlogu za tekući otpad</w:t>
            </w:r>
          </w:p>
        </w:tc>
      </w:tr>
      <w:tr w:rsidR="00337C13" w14:paraId="5E54B2B6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96485F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4B15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C3670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756859E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258E647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71CCA" w14:textId="77777777" w:rsidR="00337C13" w:rsidRDefault="00337C13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17. stavak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točka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 o gospodarenju otpadom (NN 106/22)</w:t>
            </w:r>
          </w:p>
        </w:tc>
      </w:tr>
      <w:tr w:rsidR="00337C13" w14:paraId="3C0F5F57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F4E020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0C459" w14:textId="77777777" w:rsidR="00337C13" w:rsidRDefault="00825154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Podna površina skladišta:</w:t>
            </w:r>
          </w:p>
          <w:p w14:paraId="4E696332" w14:textId="77777777" w:rsidR="00825154" w:rsidRDefault="00825154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ne smije kemijski reagirati s otpadom i tekućinom iz otpada s kojom dolazi u doticaj.</w:t>
            </w:r>
          </w:p>
        </w:tc>
      </w:tr>
      <w:tr w:rsidR="00337C13" w14:paraId="6F349BF4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4C94ED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27DD3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01DAD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03B5827D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04FCE9C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610F6" w14:textId="77777777" w:rsidR="00337C13" w:rsidRDefault="00337C13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17. stavak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 o gospodarenju otpadom (NN 106/22)</w:t>
            </w:r>
          </w:p>
        </w:tc>
      </w:tr>
      <w:tr w:rsidR="00337C13" w14:paraId="57418ADC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55BB61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4C761" w14:textId="77777777" w:rsidR="00337C13" w:rsidRDefault="00825154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Iznimno od stavka 5. ovoga članka, neopasni metalni otpad, neopasni građevni otpad i neopasni otpad od rušenja građevine određen grupom 17, neopasni otpad određen podgrupom 01 01 otpad od iskopavanja mineralnih sirovina i 20 02 02 zemlja i kamenje iz Kataloga otpada iz Dodatka X. ovoga Pravilnika može se skladištiti na zemljanoj podlozi.</w:t>
            </w:r>
          </w:p>
        </w:tc>
      </w:tr>
      <w:tr w:rsidR="00337C13" w14:paraId="4B321199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87903B9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095F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D602B1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36442730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D9F77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87F9A" w14:textId="77777777" w:rsidR="00337C13" w:rsidRDefault="00337C13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17. stavak </w:t>
            </w:r>
            <w:r w:rsid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 o gospodarenju otpadom (NN 106/22)</w:t>
            </w:r>
          </w:p>
        </w:tc>
      </w:tr>
      <w:tr w:rsidR="00337C13" w14:paraId="0AF81816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FA03A2C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48CBD" w14:textId="77777777" w:rsidR="00337C13" w:rsidRDefault="00825154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 mora biti opremljeno ventilacijom</w:t>
            </w:r>
          </w:p>
        </w:tc>
      </w:tr>
      <w:tr w:rsidR="00337C13" w14:paraId="163A0C28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AC0CD5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A282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70FA2A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5915533A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BF112F4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EBDC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17. stavak 8. Pravilnika o gospodarenju otpadom (NN 106/22)</w:t>
            </w:r>
          </w:p>
        </w:tc>
      </w:tr>
      <w:tr w:rsidR="00825154" w14:paraId="51CF0E92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226BF19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DF28E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Osoba, koja obavlja uslugu gospodarenja otpadom za Fond za zaštitu okoliša i energetsku učinkovitost (u daljnjem tekstu: Fond) ili organizaciju iz članka 95. Zakona (u daljnjem tekstu: Organizacija), dužna je odvojeno skladištiti otpad obuhvaćen ugovorom s Fondom odnosno Organizacijom od ostalog otpada istog ključnog broja.</w:t>
            </w:r>
          </w:p>
        </w:tc>
      </w:tr>
      <w:tr w:rsidR="00825154" w14:paraId="2A78D330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6EE0D7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45DDE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81C53F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70851F31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84A8EF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3C60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1. Pravilnika o gospodarenju otpadom (NN 106/22)</w:t>
            </w:r>
          </w:p>
        </w:tc>
      </w:tr>
      <w:tr w:rsidR="00825154" w14:paraId="17DE1BC0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E0A7F5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496E8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Skladištenje tekućeg otpada i otpada koji sadrži tekućine mora se obavljati na način da se u slučaju izlijevanja ili rasipanja tekućeg otpada spriječi da otpad dospije u okoliš ili sustav javne odvodnje otpadnih voda.</w:t>
            </w:r>
          </w:p>
        </w:tc>
      </w:tr>
      <w:tr w:rsidR="00825154" w14:paraId="5435883C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EDB4395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C72C2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8B6F31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6C53FC89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4B8530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6A064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2. Pravilnika o gospodarenju otpadom (NN 106/22)</w:t>
            </w:r>
          </w:p>
        </w:tc>
      </w:tr>
      <w:tr w:rsidR="00825154" w14:paraId="0DED23A0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D0BF64C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4BC6A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 u kojem se obavlja tehnološki proces skladištenja tekućeg otpada i otpada koji sadrži tekućine mora biti opremljeno sekundarnim spremnikom kapaciteta najmanje 110 posto kapaciteta najvećeg primarnog spremnika koji se nalazi na slijevnoj površini tog sekundarnog spremnika i 25 posto kapaciteta svih primarnih spremnika na istoj slijevnoj površini, a odvodi tekućine sa slijevne površine skladišta, ukoliko postoje, moraju biti povezani s nepropusnim kolektorom (sabirnikom) spojenim sa spremnikom za obradu otpadne vode. Sekundarni spremnik i slijevna površina ne smiju imati oštećenja uslijed kojih može doći do ispuštanja otpada u okoliš.</w:t>
            </w:r>
          </w:p>
        </w:tc>
      </w:tr>
      <w:tr w:rsidR="00825154" w14:paraId="5CD278E0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D7C6101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23FD4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776108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46D3F3DF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17404B7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5A411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3. Pravilnika o gospodarenju otpadom (NN 106/22)</w:t>
            </w:r>
          </w:p>
        </w:tc>
      </w:tr>
      <w:tr w:rsidR="00825154" w14:paraId="067E8D0E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C3F87B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6E2F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Skladištenje elementarne žive, neovisno o roku skladištenja, obavlja se u skladu s uvjetima propisanim propisom koji uređuje odlaganje otpada.</w:t>
            </w:r>
          </w:p>
        </w:tc>
      </w:tr>
      <w:tr w:rsidR="00825154" w14:paraId="2E75880A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FF60BB5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BEC61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1825F8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3C60F3E8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DF0C5AA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C0963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4. Pravilnika o gospodarenju otpadom (NN 106/22)</w:t>
            </w:r>
          </w:p>
        </w:tc>
      </w:tr>
      <w:tr w:rsidR="00825154" w14:paraId="09893145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E79D60F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5E1ED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Otpad nepodudarnih kemijskih svojstava odnosno vrste otpada koje međusobnim kontaktom ili kontaktom s tvarima prisutnim na lokaciji mogu uzrokovati neželjenu interakciju, uključujući nekontrolirano stvaranje topline ili plina, i time mogu uzrokovati opasnost za ljudsko zdravlje ili štetni utjecaj na okoliš, moraju se skladištiti odvojeno jedan od drugog u zasebnim primarnim spremnicima, a ako je takav opasni otpad tekuć ili sadrži tekućinu </w:t>
            </w: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mora se držati na razdvojenim slijevnim površinama i zasebnim sekundarnim spremnicima.</w:t>
            </w:r>
          </w:p>
        </w:tc>
      </w:tr>
      <w:tr w:rsidR="00825154" w14:paraId="20577078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F33D451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526B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8B9EC9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1CEC6955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82715A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67A9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5. Pravilnika o gospodarenju otpadom (NN 106/22)</w:t>
            </w:r>
          </w:p>
        </w:tc>
      </w:tr>
      <w:tr w:rsidR="00825154" w14:paraId="7692F5D6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491986D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1706D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Skladištenje otpada koji ima opasno svojstvo HP 1, HP 2, HP 3 ili HP 12 mora se obavljati odvojeno od drugog otpada u skladištu koje je zatvoreno sa svih strana i natkriveno.</w:t>
            </w:r>
          </w:p>
        </w:tc>
      </w:tr>
      <w:tr w:rsidR="00825154" w14:paraId="58479E3A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EEE16B0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95933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0FA55D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094623E1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E8DEED0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F6FF0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6. Pravilnika o gospodarenju otpadom (NN 106/22)</w:t>
            </w:r>
          </w:p>
        </w:tc>
      </w:tr>
      <w:tr w:rsidR="00825154" w14:paraId="4FDDC755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2DB3279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C2D98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Skladište u kojem se obavlja skladištenje plinovitog otpada mora biti opremljeno primarnim spremnicima koji se mogu hermetički zatvoriti i koji udovoljavaju posebnim propisima kojima se uređuje oprema pod tlakom.</w:t>
            </w:r>
          </w:p>
        </w:tc>
      </w:tr>
      <w:tr w:rsidR="00825154" w14:paraId="4E2FF122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A34DAAE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5EDAD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6BBC9E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555C04B2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42893C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77B25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18. stavak 7. Pravilnika o gospodarenju otpadom (NN 106/22)</w:t>
            </w:r>
          </w:p>
        </w:tc>
      </w:tr>
      <w:tr w:rsidR="00825154" w14:paraId="5A28B6D4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62CFABA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B9826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Odredbe ovoga članka Pravilnika primjenjuju se na skladištenje opasnog otpada koje obavlja proizvođač otpada na mjestu nastanka tog otpada.</w:t>
            </w:r>
          </w:p>
        </w:tc>
      </w:tr>
      <w:tr w:rsidR="00825154" w14:paraId="74038F4E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6FAD8BA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93F1F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D76326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6FB282F5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79D8FC2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0D907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19. stavak 1. Pravilnika o gospodarenju otpadom (NN 106/22)</w:t>
            </w:r>
          </w:p>
        </w:tc>
      </w:tr>
      <w:tr w:rsidR="00825154" w14:paraId="00D00422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E56F1A9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1A627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Lokacija gospodarenja otpadom u kojoj se obavlja djelatnost sakupljanja, oporabe ili zbrinjavanja otpada mora biti označena oznakom postavljenom na vidljivom i pristupačnom mjestu na svim ulazima na tu lokaciju.</w:t>
            </w:r>
          </w:p>
        </w:tc>
      </w:tr>
      <w:tr w:rsidR="00825154" w14:paraId="19AB2FD7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73B3749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4C86F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4A1242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5154" w14:paraId="047FA9CD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75717FB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FDFF6" w14:textId="77777777" w:rsidR="00825154" w:rsidRDefault="00825154" w:rsidP="0082515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19. stavak 2. Pravilnika o gospodarenju otpadom (NN 106/22)</w:t>
            </w:r>
          </w:p>
        </w:tc>
      </w:tr>
      <w:tr w:rsidR="00825154" w14:paraId="598BAA3A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0A1D140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54B6E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5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Oznaka iz stavka 1. ovoga članka mora sadržavati naziv pravne ili fizičke osobe – obrtnika koja obavlja djelatnost gospodarenja otpadom na toj lokaciji, OIB te osobe, radno vrijeme i natpis: »GOSPODARENJE OTPADOM«.</w:t>
            </w:r>
          </w:p>
        </w:tc>
      </w:tr>
      <w:tr w:rsidR="00825154" w14:paraId="03F7E099" w14:textId="77777777" w:rsidTr="00825154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0E6928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5078F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FE599" w14:textId="77777777" w:rsidR="00825154" w:rsidRDefault="00825154" w:rsidP="00F971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7700208" w14:textId="77777777" w:rsidR="00825154" w:rsidRDefault="00825154" w:rsidP="00A11871"/>
    <w:p w14:paraId="7F0ACC70" w14:textId="77777777" w:rsidR="00825154" w:rsidRDefault="00825154" w:rsidP="00A11871"/>
    <w:p w14:paraId="5C51D53A" w14:textId="77777777" w:rsidR="00337C13" w:rsidRDefault="00337C13" w:rsidP="00A11871">
      <w:r>
        <w:t>Dodatni posebni uvjeti iz propisa o posebnim kategorijama otpada (ovisi o vrsti otpada)</w:t>
      </w:r>
    </w:p>
    <w:tbl>
      <w:tblPr>
        <w:tblW w:w="9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008"/>
        <w:gridCol w:w="6520"/>
      </w:tblGrid>
      <w:tr w:rsidR="00337C13" w14:paraId="7E10B532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A6E0BA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propisa i referenca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2E47B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C42D7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59F3F3B1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2043B3E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Posebni uvjeti i uvjeti obavljanja pojedinih tehnoloških procesa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1B1EF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7C13" w14:paraId="141A4FEF" w14:textId="77777777" w:rsidTr="00337C13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ED8AD48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ispunjavanja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C9725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BF472D" w14:textId="77777777" w:rsidR="00337C13" w:rsidRDefault="00337C13" w:rsidP="00337C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0793B58" w14:textId="77777777" w:rsidR="00A11871" w:rsidRDefault="00A11871" w:rsidP="00A11871"/>
    <w:p w14:paraId="55E68FA9" w14:textId="77777777" w:rsidR="00337C13" w:rsidRDefault="00337C13" w:rsidP="00A11871"/>
    <w:p w14:paraId="0922276E" w14:textId="77777777" w:rsidR="008904F7" w:rsidRDefault="008904F7" w:rsidP="00A11871"/>
    <w:p w14:paraId="7E4F630D" w14:textId="77777777" w:rsidR="008904F7" w:rsidRDefault="008904F7" w:rsidP="00A11871">
      <w:r>
        <w:t>OBRAZLOŽENJE IZNOSA FINANCIJSKOG JAMSTVA</w:t>
      </w:r>
    </w:p>
    <w:p w14:paraId="4697DD7D" w14:textId="77777777" w:rsidR="008904F7" w:rsidRPr="008904F7" w:rsidRDefault="008904F7" w:rsidP="0089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72"/>
        <w:gridCol w:w="962"/>
        <w:gridCol w:w="802"/>
      </w:tblGrid>
      <w:tr w:rsidR="008904F7" w:rsidRPr="008904F7" w14:paraId="08310651" w14:textId="77777777" w:rsidTr="008904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8D050" w14:textId="77777777" w:rsidR="008904F7" w:rsidRPr="008904F7" w:rsidRDefault="008904F7" w:rsidP="008904F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ključni 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C66FB" w14:textId="77777777" w:rsidR="008904F7" w:rsidRPr="008904F7" w:rsidRDefault="008904F7" w:rsidP="008904F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količina/t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75D77" w14:textId="77777777" w:rsidR="008904F7" w:rsidRPr="008904F7" w:rsidRDefault="008904F7" w:rsidP="008904F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koeficijent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94D24" w14:textId="77777777" w:rsidR="008904F7" w:rsidRPr="008904F7" w:rsidRDefault="008904F7" w:rsidP="008904F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iznos/kn</w:t>
            </w:r>
          </w:p>
        </w:tc>
      </w:tr>
      <w:tr w:rsidR="008904F7" w:rsidRPr="008904F7" w14:paraId="0C464981" w14:textId="77777777" w:rsidTr="008904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C19A8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11FC4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C84F6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9446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8904F7" w:rsidRPr="008904F7" w14:paraId="1F33F4F1" w14:textId="77777777" w:rsidTr="008904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E87F1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1D97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5F935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62771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8904F7" w:rsidRPr="008904F7" w14:paraId="7C408F3A" w14:textId="77777777" w:rsidTr="008904F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88D28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BF593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8CB2A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6DE08" w14:textId="77777777" w:rsidR="008904F7" w:rsidRPr="008904F7" w:rsidRDefault="008904F7" w:rsidP="008904F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904F7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14:paraId="53C3985C" w14:textId="77777777" w:rsidR="008904F7" w:rsidRPr="008904F7" w:rsidRDefault="008904F7" w:rsidP="008904F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 čemu se upisuju sljedeći podaci:</w:t>
      </w:r>
    </w:p>
    <w:p w14:paraId="11B8D7AB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ključni broj 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upisuju se svi ključni brojevi otpada koje je dopušteno držati na lokaciji gospodarenja otpadom što uključuje vrste otpada koje se mogu zaprimati na lokaciju i vrste otpada koje nastaju obradom otpada </w:t>
      </w:r>
    </w:p>
    <w:p w14:paraId="7B367137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količina 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količina otpada u tonama koju je dopušteno držati na lokaciji gospodarenja otpadom </w:t>
      </w:r>
    </w:p>
    <w:p w14:paraId="72A250BA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koeficijent 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koeficijent otpada objavljen na mrežnoj stranici Ministarstva</w:t>
      </w:r>
    </w:p>
    <w:p w14:paraId="57FFD240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iznos 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 u kunama određen prema sljedećem izrazu:</w:t>
      </w:r>
    </w:p>
    <w:p w14:paraId="0C31C3A2" w14:textId="77777777" w:rsidR="008904F7" w:rsidRPr="008904F7" w:rsidRDefault="008904F7" w:rsidP="00890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= </w:t>
      </w: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× </w:t>
      </w: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</w:t>
      </w:r>
      <w:r w:rsidRPr="008904F7">
        <w:rPr>
          <w:rFonts w:ascii="Minion Pro" w:eastAsia="Times New Roman" w:hAnsi="Minion Pro" w:cs="Times New Roman"/>
          <w:i/>
          <w:iCs/>
          <w:color w:val="231F20"/>
          <w:sz w:val="18"/>
          <w:szCs w:val="18"/>
          <w:bdr w:val="none" w:sz="0" w:space="0" w:color="auto" w:frame="1"/>
          <w:vertAlign w:val="subscript"/>
          <w:lang w:eastAsia="hr-HR"/>
        </w:rPr>
        <w:t>O</w:t>
      </w:r>
    </w:p>
    <w:p w14:paraId="6C2AE448" w14:textId="77777777" w:rsidR="008904F7" w:rsidRPr="008904F7" w:rsidRDefault="008904F7" w:rsidP="008904F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 čemu je:</w:t>
      </w:r>
    </w:p>
    <w:p w14:paraId="44849478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 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 izražen u kunama</w:t>
      </w:r>
    </w:p>
    <w:p w14:paraId="2D40923E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 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 količina određene vrste otpada koju je u jednom trenutku dopušteno držati na lokaciji gospodarenja otpadom izražena u tonama</w:t>
      </w:r>
    </w:p>
    <w:p w14:paraId="2137156A" w14:textId="77777777" w:rsidR="008904F7" w:rsidRPr="008904F7" w:rsidRDefault="008904F7" w:rsidP="00890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</w:t>
      </w:r>
      <w:r w:rsidRPr="008904F7">
        <w:rPr>
          <w:rFonts w:ascii="Minion Pro" w:eastAsia="Times New Roman" w:hAnsi="Minion Pro" w:cs="Times New Roman"/>
          <w:i/>
          <w:iCs/>
          <w:color w:val="231F20"/>
          <w:sz w:val="18"/>
          <w:szCs w:val="18"/>
          <w:bdr w:val="none" w:sz="0" w:space="0" w:color="auto" w:frame="1"/>
          <w:vertAlign w:val="subscript"/>
          <w:lang w:eastAsia="hr-HR"/>
        </w:rPr>
        <w:t>O</w:t>
      </w:r>
      <w:r w:rsidRPr="008904F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 – </w:t>
      </w:r>
      <w:r w:rsidRPr="008904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koeficijent otpada objavljen na mrežnoj stranici Ministarstva izražen u kunama po toni</w:t>
      </w:r>
    </w:p>
    <w:p w14:paraId="593D4285" w14:textId="77777777" w:rsidR="008904F7" w:rsidRDefault="008904F7" w:rsidP="00A11871"/>
    <w:p w14:paraId="1E2DDF4E" w14:textId="77777777" w:rsidR="008904F7" w:rsidRDefault="008904F7" w:rsidP="008904F7">
      <w:r>
        <w:t xml:space="preserve">Ukupna količina svih vrsta otpada iz Tablice 3. koju je u jednom trenutku dopušteno držati na lokaciji gospodarenja otpadom iznosi: ______ t. </w:t>
      </w:r>
    </w:p>
    <w:p w14:paraId="60DC77E5" w14:textId="77777777" w:rsidR="008904F7" w:rsidRDefault="008904F7" w:rsidP="008904F7">
      <w:r>
        <w:t xml:space="preserve">Ukupna količina svih vrsta opasnog otpada iz Tablice 3. koju je u jednom trenutku dopušteno držati na lokaciji gospodarenja otpadom iznosi: ______ t. </w:t>
      </w:r>
    </w:p>
    <w:p w14:paraId="04F06DC1" w14:textId="77777777" w:rsidR="008904F7" w:rsidRDefault="008904F7" w:rsidP="008904F7">
      <w:r>
        <w:t>Ukupna količina svih vrsta neopasnog otpada iz Tablice 3. koju je u jednom trenutku dopušteno držati na lokaciji gospodarenja otpadom iznosi: ______ t.</w:t>
      </w:r>
    </w:p>
    <w:p w14:paraId="16AF2543" w14:textId="77777777" w:rsidR="008904F7" w:rsidRDefault="008904F7" w:rsidP="00A11871"/>
    <w:p w14:paraId="58352BE4" w14:textId="58D5BBE8" w:rsidR="008904F7" w:rsidRDefault="008904F7" w:rsidP="00A11871">
      <w:r>
        <w:rPr>
          <w:color w:val="231F20"/>
          <w:shd w:val="clear" w:color="auto" w:fill="FFFFFF"/>
        </w:rPr>
        <w:t>Iznos financijskog jamstva iznosi</w:t>
      </w:r>
      <w:r w:rsidR="002C241D">
        <w:rPr>
          <w:color w:val="231F20"/>
          <w:shd w:val="clear" w:color="auto" w:fill="FFFFFF"/>
        </w:rPr>
        <w:t>:___________________</w:t>
      </w:r>
    </w:p>
    <w:p w14:paraId="0AE1BEA5" w14:textId="77777777" w:rsidR="008904F7" w:rsidRDefault="008904F7" w:rsidP="00A11871"/>
    <w:p w14:paraId="115B7A3D" w14:textId="77777777" w:rsidR="00A11871" w:rsidRDefault="00A11871" w:rsidP="00A11871"/>
    <w:p w14:paraId="7D6D35C5" w14:textId="77777777" w:rsidR="00A11871" w:rsidRDefault="00A11871" w:rsidP="00A11871"/>
    <w:sectPr w:rsidR="00A1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F3"/>
    <w:rsid w:val="00143FF3"/>
    <w:rsid w:val="002659E1"/>
    <w:rsid w:val="002C241D"/>
    <w:rsid w:val="00304008"/>
    <w:rsid w:val="00337C13"/>
    <w:rsid w:val="0046528E"/>
    <w:rsid w:val="006A7782"/>
    <w:rsid w:val="0071586C"/>
    <w:rsid w:val="007252AC"/>
    <w:rsid w:val="00772280"/>
    <w:rsid w:val="007B0BC5"/>
    <w:rsid w:val="00825154"/>
    <w:rsid w:val="008904F7"/>
    <w:rsid w:val="009A0138"/>
    <w:rsid w:val="009B1BF8"/>
    <w:rsid w:val="00A11871"/>
    <w:rsid w:val="00A841EA"/>
    <w:rsid w:val="00D52504"/>
    <w:rsid w:val="00DC7C32"/>
    <w:rsid w:val="00E3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9724"/>
  <w15:chartTrackingRefBased/>
  <w15:docId w15:val="{9DD2D869-F551-4648-ADB1-EFB0269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Roboz</dc:creator>
  <cp:keywords/>
  <dc:description/>
  <cp:lastModifiedBy>Sabina Spahija Hrvoj</cp:lastModifiedBy>
  <cp:revision>8</cp:revision>
  <dcterms:created xsi:type="dcterms:W3CDTF">2022-10-05T13:10:00Z</dcterms:created>
  <dcterms:modified xsi:type="dcterms:W3CDTF">2022-11-17T09:01:00Z</dcterms:modified>
</cp:coreProperties>
</file>